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31" w:rsidRPr="00394C5D" w:rsidRDefault="00D86831" w:rsidP="00394C5D">
      <w:pPr>
        <w:spacing w:after="240" w:line="240" w:lineRule="auto"/>
        <w:jc w:val="center"/>
        <w:rPr>
          <w:rFonts w:asciiTheme="minorHAnsi" w:hAnsiTheme="minorHAnsi" w:cs="Arial"/>
          <w:b/>
          <w:sz w:val="52"/>
          <w:szCs w:val="52"/>
        </w:rPr>
      </w:pPr>
      <w:r w:rsidRPr="00394C5D">
        <w:rPr>
          <w:rFonts w:asciiTheme="minorHAnsi" w:hAnsiTheme="minorHAnsi" w:cs="Arial"/>
          <w:b/>
          <w:sz w:val="52"/>
          <w:szCs w:val="52"/>
        </w:rPr>
        <w:t>Rewarding Good Behaviour</w:t>
      </w:r>
      <w:r w:rsidR="00394C5D" w:rsidRPr="00394C5D">
        <w:rPr>
          <w:rFonts w:asciiTheme="minorHAnsi" w:hAnsiTheme="minorHAnsi" w:cs="Arial"/>
          <w:b/>
          <w:sz w:val="52"/>
          <w:szCs w:val="52"/>
        </w:rPr>
        <w:br/>
        <w:t>Policy</w:t>
      </w:r>
    </w:p>
    <w:tbl>
      <w:tblPr>
        <w:tblStyle w:val="TableGrid"/>
        <w:tblW w:w="10031" w:type="dxa"/>
        <w:tblBorders>
          <w:top w:val="single" w:sz="2" w:space="0" w:color="990033"/>
          <w:left w:val="single" w:sz="2" w:space="0" w:color="990033"/>
          <w:bottom w:val="single" w:sz="2" w:space="0" w:color="990033"/>
          <w:right w:val="single" w:sz="2" w:space="0" w:color="990033"/>
          <w:insideH w:val="single" w:sz="2" w:space="0" w:color="990033"/>
          <w:insideV w:val="single" w:sz="2" w:space="0" w:color="990033"/>
        </w:tblBorders>
        <w:tblLook w:val="04A0" w:firstRow="1" w:lastRow="0" w:firstColumn="1" w:lastColumn="0" w:noHBand="0" w:noVBand="1"/>
      </w:tblPr>
      <w:tblGrid>
        <w:gridCol w:w="10031"/>
      </w:tblGrid>
      <w:tr w:rsidR="00DB11AB" w:rsidTr="005F0014">
        <w:tc>
          <w:tcPr>
            <w:tcW w:w="10031" w:type="dxa"/>
            <w:shd w:val="clear" w:color="auto" w:fill="F2DBDB" w:themeFill="accent2" w:themeFillTint="33"/>
          </w:tcPr>
          <w:p w:rsidR="00DB11AB" w:rsidRPr="005F0014" w:rsidRDefault="00DB11AB" w:rsidP="005F0014">
            <w:pPr>
              <w:rPr>
                <w:rFonts w:cs="Calibri"/>
                <w:b/>
              </w:rPr>
            </w:pPr>
            <w:r w:rsidRPr="00DB11AB">
              <w:rPr>
                <w:rFonts w:cs="Calibri"/>
                <w:b/>
              </w:rPr>
              <w:t>Related documents include:</w:t>
            </w:r>
          </w:p>
        </w:tc>
      </w:tr>
      <w:tr w:rsidR="005F0014" w:rsidTr="005F0014">
        <w:tc>
          <w:tcPr>
            <w:tcW w:w="10031" w:type="dxa"/>
          </w:tcPr>
          <w:p w:rsidR="005F0014" w:rsidRPr="00D86831" w:rsidRDefault="00D86831" w:rsidP="00D86831">
            <w:pPr>
              <w:numPr>
                <w:ilvl w:val="0"/>
                <w:numId w:val="1"/>
              </w:numPr>
              <w:jc w:val="both"/>
              <w:rPr>
                <w:rFonts w:cs="Calibri"/>
                <w:bCs/>
              </w:rPr>
            </w:pPr>
            <w:r w:rsidRPr="00801B99">
              <w:rPr>
                <w:rFonts w:cs="Calibri"/>
                <w:bCs/>
              </w:rPr>
              <w:t>Behaviour Management Policy</w:t>
            </w:r>
          </w:p>
        </w:tc>
      </w:tr>
      <w:tr w:rsidR="00DB11AB" w:rsidTr="005F0014">
        <w:tc>
          <w:tcPr>
            <w:tcW w:w="10031" w:type="dxa"/>
            <w:shd w:val="clear" w:color="auto" w:fill="F2DBDB" w:themeFill="accent2" w:themeFillTint="33"/>
          </w:tcPr>
          <w:p w:rsidR="00DB11AB" w:rsidRPr="005F0014" w:rsidRDefault="00DB11AB" w:rsidP="005F0014">
            <w:pPr>
              <w:rPr>
                <w:rFonts w:cs="Calibri"/>
                <w:b/>
              </w:rPr>
            </w:pPr>
            <w:r w:rsidRPr="00DB11AB">
              <w:rPr>
                <w:rFonts w:cs="Calibri"/>
                <w:b/>
              </w:rPr>
              <w:t>Legal Status:</w:t>
            </w:r>
          </w:p>
        </w:tc>
      </w:tr>
      <w:tr w:rsidR="005F0014" w:rsidTr="005F0014">
        <w:tc>
          <w:tcPr>
            <w:tcW w:w="10031" w:type="dxa"/>
          </w:tcPr>
          <w:p w:rsidR="005F0014" w:rsidRPr="0005494C" w:rsidRDefault="005F0014" w:rsidP="00620828">
            <w:pPr>
              <w:pStyle w:val="Default"/>
              <w:rPr>
                <w:rFonts w:ascii="Calibri" w:hAnsi="Calibri"/>
                <w:bCs/>
                <w:sz w:val="20"/>
                <w:szCs w:val="20"/>
              </w:rPr>
            </w:pPr>
          </w:p>
        </w:tc>
      </w:tr>
      <w:tr w:rsidR="00DB11AB" w:rsidTr="005F0014">
        <w:tc>
          <w:tcPr>
            <w:tcW w:w="10031" w:type="dxa"/>
            <w:shd w:val="clear" w:color="auto" w:fill="F2DBDB" w:themeFill="accent2" w:themeFillTint="33"/>
          </w:tcPr>
          <w:p w:rsidR="00DB11AB" w:rsidRPr="005F0014" w:rsidRDefault="00DB11AB" w:rsidP="005F0014">
            <w:pPr>
              <w:rPr>
                <w:rFonts w:cs="Calibri"/>
                <w:b/>
                <w:bCs/>
              </w:rPr>
            </w:pPr>
            <w:r w:rsidRPr="00DB11AB">
              <w:rPr>
                <w:rFonts w:cs="Calibri"/>
                <w:b/>
                <w:bCs/>
              </w:rPr>
              <w:t>Monitoring and Review</w:t>
            </w:r>
            <w:r w:rsidRPr="00796F07">
              <w:rPr>
                <w:rFonts w:cs="Calibri"/>
                <w:bCs/>
              </w:rPr>
              <w:t xml:space="preserve"> </w:t>
            </w:r>
          </w:p>
        </w:tc>
      </w:tr>
      <w:tr w:rsidR="005F0014" w:rsidTr="00394C5D">
        <w:trPr>
          <w:trHeight w:val="1304"/>
        </w:trPr>
        <w:tc>
          <w:tcPr>
            <w:tcW w:w="10031" w:type="dxa"/>
            <w:tcBorders>
              <w:bottom w:val="single" w:sz="2" w:space="0" w:color="990033"/>
            </w:tcBorders>
          </w:tcPr>
          <w:p w:rsidR="00D86831" w:rsidRPr="00801B99" w:rsidRDefault="00D86831" w:rsidP="00D86831">
            <w:pPr>
              <w:numPr>
                <w:ilvl w:val="0"/>
                <w:numId w:val="2"/>
              </w:numPr>
              <w:contextualSpacing/>
              <w:rPr>
                <w:rFonts w:cs="Arial"/>
                <w:bCs/>
                <w:color w:val="000000"/>
                <w:lang w:eastAsia="en-GB"/>
              </w:rPr>
            </w:pPr>
            <w:r w:rsidRPr="00801B99">
              <w:rPr>
                <w:rFonts w:cs="Arial"/>
                <w:bCs/>
                <w:color w:val="000000"/>
                <w:lang w:eastAsia="en-GB"/>
              </w:rPr>
              <w:t>This policy will be subject to continuous monitoring, refinement and audit by the Principal</w:t>
            </w:r>
          </w:p>
          <w:p w:rsidR="005F0014" w:rsidRPr="00394C5D" w:rsidRDefault="00D86831" w:rsidP="00394C5D">
            <w:pPr>
              <w:numPr>
                <w:ilvl w:val="0"/>
                <w:numId w:val="2"/>
              </w:numPr>
              <w:contextualSpacing/>
              <w:rPr>
                <w:rFonts w:cs="Arial"/>
                <w:bCs/>
                <w:color w:val="000000"/>
                <w:lang w:eastAsia="en-GB"/>
              </w:rPr>
            </w:pPr>
            <w:r w:rsidRPr="00801B99">
              <w:rPr>
                <w:rFonts w:cs="Arial"/>
                <w:bCs/>
                <w:color w:val="000000"/>
                <w:lang w:eastAsia="en-GB"/>
              </w:rPr>
              <w:t xml:space="preserve">The Principal will undertake a formal annual review of this policy for the purpose of monitoring and of the efficiency with which the related duties have been discharged, by no later than one year from the date shown below, or earlier if significant changes to the systems and arrangements take place, or if legislation, regulatory requirements or best practice guidelines so require. </w:t>
            </w:r>
          </w:p>
        </w:tc>
      </w:tr>
      <w:tr w:rsidR="00DB11AB" w:rsidTr="00394C5D">
        <w:tc>
          <w:tcPr>
            <w:tcW w:w="10031" w:type="dxa"/>
            <w:tcBorders>
              <w:top w:val="single" w:sz="2" w:space="0" w:color="990033"/>
            </w:tcBorders>
          </w:tcPr>
          <w:p w:rsidR="00DB11AB" w:rsidRPr="00394C5D" w:rsidRDefault="00394C5D" w:rsidP="00394C5D">
            <w:pPr>
              <w:pStyle w:val="ListParagraph"/>
              <w:numPr>
                <w:ilvl w:val="0"/>
                <w:numId w:val="2"/>
              </w:numPr>
              <w:rPr>
                <w:rFonts w:cs="Calibri"/>
                <w:b/>
                <w:bCs/>
              </w:rPr>
            </w:pPr>
            <w:r w:rsidRPr="00394C5D">
              <w:rPr>
                <w:rFonts w:cs="Arial"/>
                <w:bCs/>
                <w:color w:val="000000"/>
                <w:lang w:eastAsia="en-GB"/>
              </w:rPr>
              <w:t xml:space="preserve">The next official date for review is  </w:t>
            </w:r>
            <w:r w:rsidR="00E97058">
              <w:rPr>
                <w:rFonts w:cs="Arial"/>
                <w:b/>
                <w:bCs/>
                <w:color w:val="000000"/>
                <w:lang w:eastAsia="en-GB"/>
              </w:rPr>
              <w:t>Sept</w:t>
            </w:r>
            <w:r w:rsidR="00AA18F2">
              <w:rPr>
                <w:rFonts w:cs="Arial"/>
                <w:b/>
                <w:bCs/>
                <w:color w:val="000000"/>
                <w:lang w:eastAsia="en-GB"/>
              </w:rPr>
              <w:t>ember 2020</w:t>
            </w:r>
            <w:bookmarkStart w:id="0" w:name="_GoBack"/>
            <w:bookmarkEnd w:id="0"/>
          </w:p>
        </w:tc>
      </w:tr>
    </w:tbl>
    <w:p w:rsidR="00260EA4" w:rsidRDefault="00260EA4" w:rsidP="00260EA4">
      <w:pPr>
        <w:jc w:val="both"/>
      </w:pPr>
    </w:p>
    <w:p w:rsidR="00D86831" w:rsidRDefault="001A01DD" w:rsidP="00394C5D">
      <w:pPr>
        <w:shd w:val="clear" w:color="auto" w:fill="F2DBDB" w:themeFill="accent2" w:themeFillTint="33"/>
        <w:spacing w:after="120"/>
        <w:rPr>
          <w:rFonts w:asciiTheme="minorHAnsi" w:hAnsiTheme="minorHAnsi"/>
          <w:b/>
          <w:sz w:val="28"/>
          <w:szCs w:val="20"/>
        </w:rPr>
      </w:pPr>
      <w:r w:rsidRPr="001A01DD">
        <w:rPr>
          <w:rFonts w:asciiTheme="minorHAnsi" w:hAnsiTheme="minorHAnsi"/>
          <w:b/>
          <w:sz w:val="28"/>
          <w:szCs w:val="20"/>
        </w:rPr>
        <w:t>Introduction</w:t>
      </w:r>
    </w:p>
    <w:p w:rsidR="00D86831" w:rsidRDefault="00D86831" w:rsidP="00D86831">
      <w:pPr>
        <w:jc w:val="both"/>
        <w:rPr>
          <w:rFonts w:cs="Calibri"/>
        </w:rPr>
      </w:pPr>
      <w:r w:rsidRPr="00801B99">
        <w:rPr>
          <w:rFonts w:cs="Calibri"/>
        </w:rPr>
        <w:t>Rewarding good behaviour is just as important as addressing poor behaviour</w:t>
      </w:r>
      <w:r>
        <w:rPr>
          <w:rFonts w:cs="Calibri"/>
        </w:rPr>
        <w:t>.  The positive reinforcement</w:t>
      </w:r>
      <w:r w:rsidRPr="00BE430B">
        <w:rPr>
          <w:rFonts w:cs="Calibri"/>
        </w:rPr>
        <w:t xml:space="preserve"> good behaviour works as it serves the dual purpose of eliminating bad behaviours and giving </w:t>
      </w:r>
      <w:r>
        <w:rPr>
          <w:rFonts w:cs="Calibri"/>
        </w:rPr>
        <w:t>students</w:t>
      </w:r>
      <w:r w:rsidRPr="00BE430B">
        <w:rPr>
          <w:rFonts w:cs="Calibri"/>
        </w:rPr>
        <w:t xml:space="preserve"> the confidence to routinely choose good behaviours. In reinforcin</w:t>
      </w:r>
      <w:r>
        <w:rPr>
          <w:rFonts w:cs="Calibri"/>
        </w:rPr>
        <w:t>g a student’s</w:t>
      </w:r>
      <w:r w:rsidRPr="00BE430B">
        <w:rPr>
          <w:rFonts w:cs="Calibri"/>
        </w:rPr>
        <w:t xml:space="preserve"> good </w:t>
      </w:r>
      <w:r>
        <w:rPr>
          <w:rFonts w:cs="Calibri"/>
        </w:rPr>
        <w:t xml:space="preserve">behaviour, performance and </w:t>
      </w:r>
      <w:r w:rsidRPr="00BE430B">
        <w:rPr>
          <w:rFonts w:cs="Calibri"/>
        </w:rPr>
        <w:t>decision</w:t>
      </w:r>
      <w:r>
        <w:rPr>
          <w:rFonts w:cs="Calibri"/>
        </w:rPr>
        <w:t xml:space="preserve">s </w:t>
      </w:r>
      <w:r w:rsidRPr="00BE430B">
        <w:rPr>
          <w:rFonts w:cs="Calibri"/>
        </w:rPr>
        <w:t>support</w:t>
      </w:r>
      <w:r>
        <w:rPr>
          <w:rFonts w:cs="Calibri"/>
        </w:rPr>
        <w:t xml:space="preserve"> </w:t>
      </w:r>
      <w:r w:rsidRPr="00BE430B">
        <w:rPr>
          <w:rFonts w:cs="Calibri"/>
        </w:rPr>
        <w:t>th</w:t>
      </w:r>
      <w:r>
        <w:rPr>
          <w:rFonts w:cs="Calibri"/>
        </w:rPr>
        <w:t>eir</w:t>
      </w:r>
      <w:r w:rsidRPr="00BE430B">
        <w:rPr>
          <w:rFonts w:cs="Calibri"/>
        </w:rPr>
        <w:t xml:space="preserve"> choice</w:t>
      </w:r>
      <w:r>
        <w:rPr>
          <w:rFonts w:cs="Calibri"/>
        </w:rPr>
        <w:t>s</w:t>
      </w:r>
      <w:r w:rsidRPr="00BE430B">
        <w:rPr>
          <w:rFonts w:cs="Calibri"/>
        </w:rPr>
        <w:t xml:space="preserve"> and encouraging similar choices in the future.</w:t>
      </w:r>
      <w:r>
        <w:rPr>
          <w:rFonts w:cs="Calibri"/>
        </w:rPr>
        <w:t xml:space="preserve"> V</w:t>
      </w:r>
      <w:r w:rsidRPr="00BE430B">
        <w:rPr>
          <w:rFonts w:cs="Calibri"/>
        </w:rPr>
        <w:t>erbally reinforce good behaviours and even occasionally reward good behaviour with something more</w:t>
      </w:r>
      <w:r>
        <w:rPr>
          <w:rFonts w:cs="Calibri"/>
        </w:rPr>
        <w:t>.</w:t>
      </w:r>
      <w:r w:rsidRPr="00BE430B">
        <w:rPr>
          <w:rFonts w:cs="Calibri"/>
        </w:rPr>
        <w:t xml:space="preserve"> </w:t>
      </w:r>
      <w:r w:rsidRPr="00801B99">
        <w:rPr>
          <w:rFonts w:cs="Calibri"/>
        </w:rPr>
        <w:t>In addition to good work or behaviour being verbally acknowledged by the member of staff we also have merit points</w:t>
      </w:r>
      <w:r>
        <w:rPr>
          <w:rFonts w:cs="Calibri"/>
        </w:rPr>
        <w:t>, and prizes</w:t>
      </w:r>
      <w:r w:rsidRPr="00801B99">
        <w:rPr>
          <w:rFonts w:cs="Calibri"/>
        </w:rPr>
        <w:t>.</w:t>
      </w:r>
    </w:p>
    <w:p w:rsidR="00D86831" w:rsidRPr="00D86831" w:rsidRDefault="00D86831" w:rsidP="00394C5D">
      <w:pPr>
        <w:shd w:val="clear" w:color="auto" w:fill="F2DBDB" w:themeFill="accent2" w:themeFillTint="33"/>
        <w:tabs>
          <w:tab w:val="center" w:pos="4819"/>
        </w:tabs>
        <w:spacing w:after="120"/>
        <w:rPr>
          <w:rFonts w:cs="Calibri"/>
          <w:b/>
          <w:sz w:val="28"/>
        </w:rPr>
      </w:pPr>
      <w:r w:rsidRPr="00D86831">
        <w:rPr>
          <w:rFonts w:cs="Calibri"/>
          <w:b/>
          <w:sz w:val="28"/>
        </w:rPr>
        <w:t>Merit Points</w:t>
      </w:r>
    </w:p>
    <w:p w:rsidR="00D86831" w:rsidRPr="00801B99" w:rsidRDefault="00D86831" w:rsidP="00394C5D">
      <w:pPr>
        <w:spacing w:after="120"/>
        <w:rPr>
          <w:rFonts w:cs="Calibri"/>
        </w:rPr>
      </w:pPr>
      <w:r w:rsidRPr="00801B99">
        <w:rPr>
          <w:rFonts w:cs="Calibri"/>
        </w:rPr>
        <w:t xml:space="preserve">Merits are paper tokens ranging in value from 1 – 3. Staff at the </w:t>
      </w:r>
      <w:r w:rsidR="00394C5D">
        <w:rPr>
          <w:rFonts w:cs="Calibri"/>
        </w:rPr>
        <w:t>College may award these merits for:</w:t>
      </w:r>
    </w:p>
    <w:p w:rsidR="00D86831" w:rsidRPr="00801B99" w:rsidRDefault="00D86831" w:rsidP="00394C5D">
      <w:pPr>
        <w:pStyle w:val="NoSpacing"/>
        <w:numPr>
          <w:ilvl w:val="0"/>
          <w:numId w:val="23"/>
        </w:numPr>
        <w:spacing w:after="120"/>
        <w:jc w:val="both"/>
        <w:rPr>
          <w:rFonts w:cs="Calibri"/>
        </w:rPr>
      </w:pPr>
      <w:r w:rsidRPr="00801B99">
        <w:rPr>
          <w:rFonts w:cs="Calibri"/>
        </w:rPr>
        <w:t>Good behaviour</w:t>
      </w:r>
    </w:p>
    <w:p w:rsidR="00D86831" w:rsidRPr="00801B99" w:rsidRDefault="00D86831" w:rsidP="00394C5D">
      <w:pPr>
        <w:pStyle w:val="NoSpacing"/>
        <w:numPr>
          <w:ilvl w:val="0"/>
          <w:numId w:val="23"/>
        </w:numPr>
        <w:spacing w:after="120"/>
        <w:jc w:val="both"/>
        <w:rPr>
          <w:rFonts w:cs="Calibri"/>
        </w:rPr>
      </w:pPr>
      <w:r w:rsidRPr="00801B99">
        <w:rPr>
          <w:rFonts w:cs="Calibri"/>
        </w:rPr>
        <w:t>Excellent homework</w:t>
      </w:r>
    </w:p>
    <w:p w:rsidR="00D86831" w:rsidRPr="00801B99" w:rsidRDefault="00D86831" w:rsidP="00394C5D">
      <w:pPr>
        <w:pStyle w:val="NoSpacing"/>
        <w:numPr>
          <w:ilvl w:val="0"/>
          <w:numId w:val="23"/>
        </w:numPr>
        <w:spacing w:after="120"/>
        <w:jc w:val="both"/>
        <w:rPr>
          <w:rFonts w:cs="Calibri"/>
        </w:rPr>
      </w:pPr>
      <w:r w:rsidRPr="00801B99">
        <w:rPr>
          <w:rFonts w:cs="Calibri"/>
        </w:rPr>
        <w:t>Excellent effort or achievement in class</w:t>
      </w:r>
    </w:p>
    <w:p w:rsidR="00D86831" w:rsidRPr="00801B99" w:rsidRDefault="00D86831" w:rsidP="00394C5D">
      <w:pPr>
        <w:pStyle w:val="NoSpacing"/>
        <w:numPr>
          <w:ilvl w:val="0"/>
          <w:numId w:val="23"/>
        </w:numPr>
        <w:spacing w:after="120"/>
        <w:jc w:val="both"/>
        <w:rPr>
          <w:rFonts w:cs="Calibri"/>
        </w:rPr>
      </w:pPr>
      <w:r w:rsidRPr="00801B99">
        <w:rPr>
          <w:rFonts w:cs="Calibri"/>
        </w:rPr>
        <w:t>An act of kindness or generosity</w:t>
      </w:r>
    </w:p>
    <w:p w:rsidR="00D86831" w:rsidRPr="00801B99" w:rsidRDefault="00D86831" w:rsidP="00394C5D">
      <w:pPr>
        <w:pStyle w:val="NoSpacing"/>
        <w:numPr>
          <w:ilvl w:val="0"/>
          <w:numId w:val="23"/>
        </w:numPr>
        <w:spacing w:after="120"/>
        <w:jc w:val="both"/>
        <w:rPr>
          <w:rFonts w:cs="Calibri"/>
        </w:rPr>
      </w:pPr>
      <w:r w:rsidRPr="00801B99">
        <w:rPr>
          <w:rFonts w:cs="Calibri"/>
        </w:rPr>
        <w:t>Politeness</w:t>
      </w:r>
    </w:p>
    <w:p w:rsidR="00D86831" w:rsidRPr="00801B99" w:rsidRDefault="00D86831" w:rsidP="00394C5D">
      <w:pPr>
        <w:pStyle w:val="NoSpacing"/>
        <w:numPr>
          <w:ilvl w:val="0"/>
          <w:numId w:val="23"/>
        </w:numPr>
        <w:spacing w:after="120"/>
        <w:jc w:val="both"/>
        <w:rPr>
          <w:rFonts w:cs="Calibri"/>
        </w:rPr>
      </w:pPr>
      <w:r w:rsidRPr="00801B99">
        <w:rPr>
          <w:rFonts w:cs="Calibri"/>
        </w:rPr>
        <w:t>Tidy bedroom</w:t>
      </w:r>
    </w:p>
    <w:p w:rsidR="00D86831" w:rsidRPr="00801B99" w:rsidRDefault="00D86831" w:rsidP="00394C5D">
      <w:pPr>
        <w:pStyle w:val="NoSpacing"/>
        <w:numPr>
          <w:ilvl w:val="0"/>
          <w:numId w:val="23"/>
        </w:numPr>
        <w:spacing w:after="120"/>
        <w:jc w:val="both"/>
        <w:rPr>
          <w:rFonts w:cs="Calibri"/>
        </w:rPr>
      </w:pPr>
      <w:r w:rsidRPr="00801B99">
        <w:rPr>
          <w:rFonts w:cs="Calibri"/>
        </w:rPr>
        <w:t>Helping staff with administrative tasks</w:t>
      </w:r>
    </w:p>
    <w:p w:rsidR="00D86831" w:rsidRPr="00801B99" w:rsidRDefault="00D86831" w:rsidP="00394C5D">
      <w:pPr>
        <w:pStyle w:val="NoSpacing"/>
        <w:numPr>
          <w:ilvl w:val="0"/>
          <w:numId w:val="23"/>
        </w:numPr>
        <w:spacing w:after="240"/>
        <w:jc w:val="both"/>
        <w:rPr>
          <w:rFonts w:cs="Calibri"/>
        </w:rPr>
      </w:pPr>
      <w:r w:rsidRPr="00801B99">
        <w:rPr>
          <w:rFonts w:cs="Calibri"/>
        </w:rPr>
        <w:t xml:space="preserve">Contributing to the </w:t>
      </w:r>
      <w:r w:rsidR="00394C5D">
        <w:rPr>
          <w:rFonts w:cs="Calibri"/>
        </w:rPr>
        <w:t>College Student V</w:t>
      </w:r>
      <w:r w:rsidRPr="00801B99">
        <w:rPr>
          <w:rFonts w:cs="Calibri"/>
        </w:rPr>
        <w:t xml:space="preserve">oice </w:t>
      </w:r>
    </w:p>
    <w:p w:rsidR="00D86831" w:rsidRPr="00801B99" w:rsidRDefault="00D86831" w:rsidP="00D86831">
      <w:pPr>
        <w:pStyle w:val="NoSpacing"/>
        <w:rPr>
          <w:rFonts w:cs="Calibri"/>
        </w:rPr>
      </w:pPr>
      <w:r w:rsidRPr="00801B99">
        <w:rPr>
          <w:rFonts w:cs="Calibri"/>
        </w:rPr>
        <w:t>Or any other action worthy of praise.</w:t>
      </w:r>
    </w:p>
    <w:p w:rsidR="00D86831" w:rsidRPr="00801B99" w:rsidRDefault="00D86831" w:rsidP="00D86831">
      <w:pPr>
        <w:pStyle w:val="NoSpacing"/>
        <w:rPr>
          <w:rFonts w:cs="Calibri"/>
        </w:rPr>
      </w:pPr>
    </w:p>
    <w:p w:rsidR="00D86831" w:rsidRPr="00801B99" w:rsidRDefault="00D86831" w:rsidP="00D86831">
      <w:pPr>
        <w:pStyle w:val="NoSpacing"/>
        <w:rPr>
          <w:rFonts w:cs="Calibri"/>
        </w:rPr>
      </w:pPr>
      <w:r w:rsidRPr="00801B99">
        <w:rPr>
          <w:rFonts w:cs="Calibri"/>
        </w:rPr>
        <w:lastRenderedPageBreak/>
        <w:t xml:space="preserve">When a student receives a merit they should hand it </w:t>
      </w:r>
      <w:r>
        <w:rPr>
          <w:rFonts w:cs="Calibri"/>
        </w:rPr>
        <w:t xml:space="preserve">to the </w:t>
      </w:r>
      <w:r w:rsidRPr="00801B99">
        <w:rPr>
          <w:rFonts w:cs="Calibri"/>
        </w:rPr>
        <w:t>Principal</w:t>
      </w:r>
      <w:r w:rsidR="00394C5D">
        <w:rPr>
          <w:rFonts w:cs="Calibri"/>
        </w:rPr>
        <w:t>,</w:t>
      </w:r>
      <w:r w:rsidRPr="00801B99">
        <w:rPr>
          <w:rFonts w:cs="Calibri"/>
        </w:rPr>
        <w:t xml:space="preserve"> who records the number of merits earnt.</w:t>
      </w:r>
    </w:p>
    <w:p w:rsidR="00D86831" w:rsidRPr="00801B99" w:rsidRDefault="00D86831" w:rsidP="00D86831">
      <w:pPr>
        <w:pStyle w:val="NoSpacing"/>
        <w:rPr>
          <w:rFonts w:cs="Calibri"/>
        </w:rPr>
      </w:pPr>
    </w:p>
    <w:p w:rsidR="00394C5D" w:rsidRPr="00394C5D" w:rsidRDefault="00394C5D" w:rsidP="00394C5D">
      <w:pPr>
        <w:pStyle w:val="NoSpacing"/>
        <w:shd w:val="clear" w:color="auto" w:fill="F2DBDB" w:themeFill="accent2" w:themeFillTint="33"/>
        <w:spacing w:after="120"/>
        <w:rPr>
          <w:rFonts w:cs="Calibri"/>
          <w:b/>
          <w:sz w:val="28"/>
        </w:rPr>
      </w:pPr>
      <w:r>
        <w:rPr>
          <w:rFonts w:cs="Calibri"/>
          <w:b/>
          <w:sz w:val="28"/>
        </w:rPr>
        <w:t>Certificates</w:t>
      </w:r>
    </w:p>
    <w:p w:rsidR="00394C5D" w:rsidRDefault="00A44271" w:rsidP="00D86831">
      <w:pPr>
        <w:pStyle w:val="NoSpacing"/>
        <w:rPr>
          <w:rFonts w:cs="Calibri"/>
        </w:rPr>
      </w:pPr>
      <w:r>
        <w:rPr>
          <w:rFonts w:cs="Calibri"/>
        </w:rPr>
        <w:t>Certificates are issued for 25 (Bronze), 5</w:t>
      </w:r>
      <w:r w:rsidR="00D86831" w:rsidRPr="00801B99">
        <w:rPr>
          <w:rFonts w:cs="Calibri"/>
        </w:rPr>
        <w:t>0 (Silver)</w:t>
      </w:r>
      <w:r w:rsidR="00E97058">
        <w:rPr>
          <w:rFonts w:cs="Calibri"/>
        </w:rPr>
        <w:t>, 70 (Gold) and 10</w:t>
      </w:r>
      <w:r w:rsidR="00394C5D">
        <w:rPr>
          <w:rFonts w:cs="Calibri"/>
        </w:rPr>
        <w:t>0 (Platinum).</w:t>
      </w:r>
    </w:p>
    <w:p w:rsidR="00394C5D" w:rsidRDefault="00394C5D" w:rsidP="00D86831">
      <w:pPr>
        <w:pStyle w:val="NoSpacing"/>
        <w:rPr>
          <w:rFonts w:cs="Calibri"/>
        </w:rPr>
      </w:pPr>
    </w:p>
    <w:p w:rsidR="00D86831" w:rsidRPr="00801B99" w:rsidRDefault="00D86831" w:rsidP="00D86831">
      <w:pPr>
        <w:pStyle w:val="NoSpacing"/>
        <w:rPr>
          <w:rFonts w:cs="Calibri"/>
        </w:rPr>
      </w:pPr>
      <w:r w:rsidRPr="00801B99">
        <w:rPr>
          <w:rFonts w:cs="Calibri"/>
        </w:rPr>
        <w:t>When students achieve each level a letter is sent to their parents by the Principal.</w:t>
      </w:r>
    </w:p>
    <w:p w:rsidR="00D86831" w:rsidRDefault="00D86831" w:rsidP="00D86831">
      <w:pPr>
        <w:pStyle w:val="NoSpacing"/>
        <w:rPr>
          <w:rFonts w:cs="Calibri"/>
        </w:rPr>
      </w:pPr>
    </w:p>
    <w:p w:rsidR="00394C5D" w:rsidRPr="00394C5D" w:rsidRDefault="00394C5D" w:rsidP="00394C5D">
      <w:pPr>
        <w:pStyle w:val="NoSpacing"/>
        <w:shd w:val="clear" w:color="auto" w:fill="F2DBDB" w:themeFill="accent2" w:themeFillTint="33"/>
        <w:spacing w:after="120"/>
        <w:rPr>
          <w:rFonts w:cs="Calibri"/>
          <w:b/>
          <w:sz w:val="28"/>
        </w:rPr>
      </w:pPr>
      <w:r>
        <w:rPr>
          <w:rFonts w:cs="Calibri"/>
          <w:b/>
          <w:sz w:val="28"/>
        </w:rPr>
        <w:t>Giving Merits</w:t>
      </w:r>
    </w:p>
    <w:p w:rsidR="00394C5D" w:rsidRDefault="00394C5D" w:rsidP="00394C5D">
      <w:pPr>
        <w:pStyle w:val="NoSpacing"/>
        <w:numPr>
          <w:ilvl w:val="0"/>
          <w:numId w:val="24"/>
        </w:numPr>
        <w:spacing w:after="120"/>
        <w:jc w:val="both"/>
        <w:rPr>
          <w:rFonts w:cs="Calibri"/>
        </w:rPr>
      </w:pPr>
      <w:r>
        <w:rPr>
          <w:rFonts w:cs="Calibri"/>
        </w:rPr>
        <w:t>All members of staff, not just teachers, are encouraged to reward good behaviour or acts.</w:t>
      </w:r>
    </w:p>
    <w:p w:rsidR="00394C5D" w:rsidRDefault="00D86831" w:rsidP="00394C5D">
      <w:pPr>
        <w:pStyle w:val="NoSpacing"/>
        <w:numPr>
          <w:ilvl w:val="0"/>
          <w:numId w:val="24"/>
        </w:numPr>
        <w:spacing w:after="120"/>
        <w:jc w:val="both"/>
        <w:rPr>
          <w:rFonts w:cs="Calibri"/>
        </w:rPr>
      </w:pPr>
      <w:r w:rsidRPr="00801B99">
        <w:rPr>
          <w:rFonts w:cs="Calibri"/>
        </w:rPr>
        <w:t xml:space="preserve">Full time staff are expected to hand out a total of ten merits per week and are asked to complete a weekly sheet showing how these merits were distributed and for what reason, and to hand this to the Principal. </w:t>
      </w:r>
    </w:p>
    <w:p w:rsidR="00D86831" w:rsidRPr="00801B99" w:rsidRDefault="00D86831" w:rsidP="00394C5D">
      <w:pPr>
        <w:pStyle w:val="NoSpacing"/>
        <w:numPr>
          <w:ilvl w:val="0"/>
          <w:numId w:val="24"/>
        </w:numPr>
        <w:spacing w:after="120"/>
        <w:jc w:val="both"/>
        <w:rPr>
          <w:rFonts w:cs="Calibri"/>
        </w:rPr>
      </w:pPr>
      <w:r w:rsidRPr="00801B99">
        <w:rPr>
          <w:rFonts w:cs="Calibri"/>
        </w:rPr>
        <w:t xml:space="preserve">Part time teachers </w:t>
      </w:r>
      <w:r>
        <w:rPr>
          <w:rFonts w:cs="Calibri"/>
        </w:rPr>
        <w:t>should</w:t>
      </w:r>
      <w:r w:rsidRPr="00801B99">
        <w:rPr>
          <w:rFonts w:cs="Calibri"/>
        </w:rPr>
        <w:t xml:space="preserve"> give out fewer merits per week</w:t>
      </w:r>
      <w:r>
        <w:rPr>
          <w:rFonts w:cs="Calibri"/>
        </w:rPr>
        <w:t xml:space="preserve"> pro rata to their working week</w:t>
      </w:r>
      <w:r w:rsidRPr="00801B99">
        <w:rPr>
          <w:rFonts w:cs="Calibri"/>
        </w:rPr>
        <w:t xml:space="preserve">. </w:t>
      </w:r>
    </w:p>
    <w:p w:rsidR="00D86831" w:rsidRDefault="00D86831" w:rsidP="00394C5D">
      <w:pPr>
        <w:pStyle w:val="NoSpacing"/>
        <w:jc w:val="both"/>
        <w:rPr>
          <w:rFonts w:cs="Calibri"/>
        </w:rPr>
      </w:pPr>
    </w:p>
    <w:p w:rsidR="00D86831" w:rsidRPr="00D86831" w:rsidRDefault="00D86831" w:rsidP="00394C5D">
      <w:pPr>
        <w:pStyle w:val="NoSpacing"/>
        <w:shd w:val="clear" w:color="auto" w:fill="F2DBDB" w:themeFill="accent2" w:themeFillTint="33"/>
        <w:spacing w:after="120"/>
        <w:jc w:val="both"/>
        <w:rPr>
          <w:rFonts w:cs="Calibri"/>
          <w:b/>
          <w:sz w:val="28"/>
        </w:rPr>
      </w:pPr>
      <w:r w:rsidRPr="00D86831">
        <w:rPr>
          <w:rFonts w:cs="Calibri"/>
          <w:b/>
          <w:sz w:val="28"/>
        </w:rPr>
        <w:t>Prizes</w:t>
      </w:r>
    </w:p>
    <w:p w:rsidR="00394C5D" w:rsidRDefault="00D86831" w:rsidP="00394C5D">
      <w:pPr>
        <w:pStyle w:val="NoSpacing"/>
        <w:numPr>
          <w:ilvl w:val="0"/>
          <w:numId w:val="25"/>
        </w:numPr>
        <w:jc w:val="both"/>
        <w:rPr>
          <w:rFonts w:cs="Calibri"/>
        </w:rPr>
      </w:pPr>
      <w:r>
        <w:rPr>
          <w:rFonts w:cs="Calibri"/>
        </w:rPr>
        <w:t>At the</w:t>
      </w:r>
      <w:r w:rsidR="00394C5D">
        <w:rPr>
          <w:rFonts w:cs="Calibri"/>
        </w:rPr>
        <w:t xml:space="preserve"> end of each term and at</w:t>
      </w:r>
      <w:r>
        <w:rPr>
          <w:rFonts w:cs="Calibri"/>
        </w:rPr>
        <w:t xml:space="preserve"> end of the year Prizes are awarded to students whose progress, effort, behaviour or other commendable activity warrants recognition. </w:t>
      </w:r>
    </w:p>
    <w:p w:rsidR="00394C5D" w:rsidRDefault="00394C5D" w:rsidP="00394C5D">
      <w:pPr>
        <w:pStyle w:val="NoSpacing"/>
        <w:ind w:left="720"/>
        <w:jc w:val="both"/>
        <w:rPr>
          <w:rFonts w:cs="Calibri"/>
        </w:rPr>
      </w:pPr>
    </w:p>
    <w:p w:rsidR="00394C5D" w:rsidRDefault="00394C5D" w:rsidP="00394C5D">
      <w:pPr>
        <w:pStyle w:val="NoSpacing"/>
        <w:numPr>
          <w:ilvl w:val="0"/>
          <w:numId w:val="25"/>
        </w:numPr>
        <w:jc w:val="both"/>
        <w:rPr>
          <w:rFonts w:cs="Calibri"/>
        </w:rPr>
      </w:pPr>
      <w:r w:rsidRPr="00394C5D">
        <w:rPr>
          <w:rFonts w:cs="Calibri"/>
        </w:rPr>
        <w:t>At</w:t>
      </w:r>
      <w:r>
        <w:rPr>
          <w:rFonts w:cs="Calibri"/>
        </w:rPr>
        <w:t xml:space="preserve"> the End-of-Y</w:t>
      </w:r>
      <w:r w:rsidRPr="00394C5D">
        <w:rPr>
          <w:rFonts w:cs="Calibri"/>
        </w:rPr>
        <w:t xml:space="preserve">ear </w:t>
      </w:r>
      <w:r>
        <w:rPr>
          <w:rFonts w:cs="Calibri"/>
        </w:rPr>
        <w:t xml:space="preserve"> Party </w:t>
      </w:r>
      <w:r w:rsidRPr="00394C5D">
        <w:rPr>
          <w:rFonts w:cs="Calibri"/>
        </w:rPr>
        <w:t xml:space="preserve">Certificates and </w:t>
      </w:r>
      <w:r>
        <w:rPr>
          <w:rFonts w:cs="Calibri"/>
        </w:rPr>
        <w:t>Prizes are awarded to students whose progress, effort, behaviour or other commendable activity warrants recognition.</w:t>
      </w:r>
    </w:p>
    <w:p w:rsidR="00394C5D" w:rsidRDefault="00394C5D" w:rsidP="00394C5D">
      <w:pPr>
        <w:pStyle w:val="NoSpacing"/>
        <w:ind w:left="720"/>
        <w:jc w:val="both"/>
        <w:rPr>
          <w:rFonts w:cs="Calibri"/>
        </w:rPr>
      </w:pPr>
    </w:p>
    <w:p w:rsidR="00D86831" w:rsidRPr="00394C5D" w:rsidRDefault="00D86831" w:rsidP="00394C5D">
      <w:pPr>
        <w:pStyle w:val="NoSpacing"/>
        <w:jc w:val="both"/>
        <w:rPr>
          <w:rFonts w:cs="Calibri"/>
        </w:rPr>
      </w:pPr>
      <w:r w:rsidRPr="00394C5D">
        <w:rPr>
          <w:rFonts w:cs="Calibri"/>
        </w:rPr>
        <w:t>These awards recognise good behaviour in addition to academic performance and progress.</w:t>
      </w:r>
    </w:p>
    <w:p w:rsidR="00D86831" w:rsidRDefault="00D86831" w:rsidP="00394C5D">
      <w:pPr>
        <w:pStyle w:val="NoSpacing"/>
        <w:jc w:val="both"/>
        <w:rPr>
          <w:rFonts w:cs="Calibri"/>
        </w:rPr>
      </w:pPr>
    </w:p>
    <w:p w:rsidR="00D86831" w:rsidRPr="00801B99" w:rsidRDefault="00D86831" w:rsidP="00394C5D">
      <w:pPr>
        <w:pStyle w:val="NoSpacing"/>
        <w:jc w:val="both"/>
        <w:rPr>
          <w:rFonts w:cs="Calibri"/>
        </w:rPr>
      </w:pPr>
      <w:r>
        <w:rPr>
          <w:rFonts w:cs="Calibri"/>
        </w:rPr>
        <w:t>Prizes can be issued for team and individual activities.</w:t>
      </w:r>
    </w:p>
    <w:p w:rsidR="00894C97" w:rsidRPr="00D86831" w:rsidRDefault="00894C97" w:rsidP="00D86831">
      <w:pPr>
        <w:rPr>
          <w:rFonts w:asciiTheme="minorHAnsi" w:hAnsiTheme="minorHAnsi"/>
          <w:sz w:val="28"/>
          <w:szCs w:val="20"/>
        </w:rPr>
      </w:pPr>
    </w:p>
    <w:sectPr w:rsidR="00894C97" w:rsidRPr="00D86831" w:rsidSect="00394C5D">
      <w:headerReference w:type="default" r:id="rId9"/>
      <w:footerReference w:type="default" r:id="rId10"/>
      <w:pgSz w:w="11906" w:h="16838"/>
      <w:pgMar w:top="1440" w:right="1080" w:bottom="1440" w:left="1080" w:header="45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AB" w:rsidRDefault="00DB11AB" w:rsidP="00DB11AB">
      <w:pPr>
        <w:spacing w:after="0" w:line="240" w:lineRule="auto"/>
      </w:pPr>
      <w:r>
        <w:separator/>
      </w:r>
    </w:p>
  </w:endnote>
  <w:endnote w:type="continuationSeparator" w:id="0">
    <w:p w:rsidR="00DB11AB" w:rsidRDefault="00DB11AB" w:rsidP="00DB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7" w:type="dxa"/>
      <w:jc w:val="center"/>
      <w:tblLook w:val="04A0" w:firstRow="1" w:lastRow="0" w:firstColumn="1" w:lastColumn="0" w:noHBand="0" w:noVBand="1"/>
    </w:tblPr>
    <w:tblGrid>
      <w:gridCol w:w="1116"/>
      <w:gridCol w:w="426"/>
      <w:gridCol w:w="567"/>
      <w:gridCol w:w="1134"/>
      <w:gridCol w:w="1134"/>
      <w:gridCol w:w="425"/>
      <w:gridCol w:w="567"/>
      <w:gridCol w:w="1276"/>
      <w:gridCol w:w="1276"/>
      <w:gridCol w:w="425"/>
      <w:gridCol w:w="567"/>
      <w:gridCol w:w="1084"/>
    </w:tblGrid>
    <w:tr w:rsidR="00B549C3" w:rsidRPr="00DB11AB" w:rsidTr="00B549C3">
      <w:trPr>
        <w:trHeight w:val="75"/>
        <w:jc w:val="center"/>
      </w:trPr>
      <w:tc>
        <w:tcPr>
          <w:tcW w:w="1116" w:type="dxa"/>
          <w:tcBorders>
            <w:top w:val="single" w:sz="2" w:space="0" w:color="990033"/>
            <w:left w:val="single" w:sz="2" w:space="0" w:color="990033"/>
            <w:bottom w:val="single" w:sz="2" w:space="0" w:color="990033"/>
            <w:right w:val="single" w:sz="2" w:space="0" w:color="990033"/>
          </w:tcBorders>
          <w:shd w:val="clear" w:color="auto" w:fill="FBE4D5"/>
          <w:noWrap/>
          <w:vAlign w:val="center"/>
          <w:hideMark/>
        </w:tcPr>
        <w:p w:rsidR="00DB11AB" w:rsidRPr="00DB11AB" w:rsidRDefault="00DB11AB" w:rsidP="00DB11AB">
          <w:pPr>
            <w:spacing w:after="0"/>
            <w:ind w:left="-57" w:right="-57"/>
            <w:rPr>
              <w:b/>
              <w:color w:val="404040"/>
              <w:sz w:val="18"/>
              <w:szCs w:val="18"/>
              <w:lang w:eastAsia="en-GB"/>
            </w:rPr>
          </w:pPr>
          <w:r w:rsidRPr="00B549C3">
            <w:rPr>
              <w:b/>
              <w:color w:val="404040"/>
              <w:sz w:val="18"/>
              <w:szCs w:val="18"/>
              <w:lang w:eastAsia="en-GB"/>
            </w:rPr>
            <w:t>Produced by:</w:t>
          </w:r>
        </w:p>
      </w:tc>
      <w:tc>
        <w:tcPr>
          <w:tcW w:w="426" w:type="dxa"/>
          <w:tcBorders>
            <w:top w:val="single" w:sz="2" w:space="0" w:color="990033"/>
            <w:left w:val="single" w:sz="2" w:space="0" w:color="990033"/>
            <w:bottom w:val="single" w:sz="2" w:space="0" w:color="990033"/>
            <w:right w:val="single" w:sz="2" w:space="0" w:color="990033"/>
          </w:tcBorders>
          <w:shd w:val="clear" w:color="auto" w:fill="auto"/>
          <w:vAlign w:val="center"/>
        </w:tcPr>
        <w:p w:rsidR="00DB11AB" w:rsidRPr="00B549C3" w:rsidRDefault="00DB11AB" w:rsidP="00DB11AB">
          <w:pPr>
            <w:spacing w:after="0"/>
            <w:ind w:left="-57" w:right="-57"/>
            <w:jc w:val="center"/>
            <w:rPr>
              <w:b/>
              <w:color w:val="404040"/>
              <w:sz w:val="18"/>
              <w:szCs w:val="18"/>
              <w:lang w:eastAsia="en-GB"/>
            </w:rPr>
          </w:pPr>
          <w:r w:rsidRPr="00B549C3">
            <w:rPr>
              <w:b/>
              <w:color w:val="404040"/>
              <w:sz w:val="18"/>
              <w:szCs w:val="18"/>
              <w:lang w:eastAsia="en-GB"/>
            </w:rPr>
            <w:t>CS</w:t>
          </w:r>
        </w:p>
      </w:tc>
      <w:tc>
        <w:tcPr>
          <w:tcW w:w="567" w:type="dxa"/>
          <w:tcBorders>
            <w:top w:val="single" w:sz="2" w:space="0" w:color="990033"/>
            <w:left w:val="single" w:sz="2" w:space="0" w:color="990033"/>
            <w:bottom w:val="single" w:sz="2" w:space="0" w:color="990033"/>
            <w:right w:val="single" w:sz="2" w:space="0" w:color="990033"/>
          </w:tcBorders>
          <w:shd w:val="clear" w:color="auto" w:fill="FBE4D5"/>
          <w:vAlign w:val="center"/>
        </w:tcPr>
        <w:p w:rsidR="00DB11AB" w:rsidRPr="00B549C3" w:rsidRDefault="00DB11AB" w:rsidP="00DB11AB">
          <w:pPr>
            <w:spacing w:after="0"/>
            <w:ind w:left="-57" w:right="-57"/>
            <w:rPr>
              <w:b/>
              <w:color w:val="404040"/>
              <w:sz w:val="18"/>
              <w:szCs w:val="18"/>
              <w:lang w:eastAsia="en-GB"/>
            </w:rPr>
          </w:pPr>
          <w:r w:rsidRPr="00B549C3">
            <w:rPr>
              <w:b/>
              <w:color w:val="404040"/>
              <w:sz w:val="18"/>
              <w:szCs w:val="18"/>
              <w:lang w:eastAsia="en-GB"/>
            </w:rPr>
            <w:t>Date:</w:t>
          </w:r>
        </w:p>
      </w:tc>
      <w:tc>
        <w:tcPr>
          <w:tcW w:w="1134" w:type="dxa"/>
          <w:tcBorders>
            <w:top w:val="single" w:sz="2" w:space="0" w:color="990033"/>
            <w:left w:val="single" w:sz="2" w:space="0" w:color="990033"/>
            <w:bottom w:val="single" w:sz="2" w:space="0" w:color="990033"/>
            <w:right w:val="single" w:sz="2" w:space="0" w:color="990033"/>
          </w:tcBorders>
          <w:shd w:val="clear" w:color="auto" w:fill="auto"/>
          <w:vAlign w:val="center"/>
        </w:tcPr>
        <w:p w:rsidR="00DB11AB" w:rsidRPr="00B549C3" w:rsidRDefault="00E97058" w:rsidP="00DB11AB">
          <w:pPr>
            <w:spacing w:after="0"/>
            <w:ind w:left="-57" w:right="-57"/>
            <w:jc w:val="center"/>
            <w:rPr>
              <w:b/>
              <w:color w:val="404040"/>
              <w:sz w:val="18"/>
              <w:szCs w:val="18"/>
              <w:lang w:eastAsia="en-GB"/>
            </w:rPr>
          </w:pPr>
          <w:r>
            <w:rPr>
              <w:b/>
              <w:color w:val="404040"/>
              <w:sz w:val="18"/>
              <w:szCs w:val="18"/>
              <w:lang w:eastAsia="en-GB"/>
            </w:rPr>
            <w:t>16/08</w:t>
          </w:r>
          <w:r w:rsidR="00B01924">
            <w:rPr>
              <w:b/>
              <w:color w:val="404040"/>
              <w:sz w:val="18"/>
              <w:szCs w:val="18"/>
              <w:lang w:eastAsia="en-GB"/>
            </w:rPr>
            <w:t>/2017</w:t>
          </w:r>
        </w:p>
      </w:tc>
      <w:tc>
        <w:tcPr>
          <w:tcW w:w="1134" w:type="dxa"/>
          <w:tcBorders>
            <w:top w:val="single" w:sz="2" w:space="0" w:color="990033"/>
            <w:left w:val="single" w:sz="2" w:space="0" w:color="990033"/>
            <w:bottom w:val="single" w:sz="2" w:space="0" w:color="990033"/>
            <w:right w:val="single" w:sz="2" w:space="0" w:color="990033"/>
          </w:tcBorders>
          <w:shd w:val="clear" w:color="auto" w:fill="FBE4D5"/>
          <w:vAlign w:val="center"/>
        </w:tcPr>
        <w:p w:rsidR="00DB11AB" w:rsidRPr="00B549C3" w:rsidRDefault="00DB11AB" w:rsidP="00DB11AB">
          <w:pPr>
            <w:spacing w:after="0"/>
            <w:ind w:left="-57" w:right="-57"/>
            <w:rPr>
              <w:b/>
              <w:color w:val="404040"/>
              <w:sz w:val="18"/>
              <w:szCs w:val="18"/>
              <w:lang w:eastAsia="en-GB"/>
            </w:rPr>
          </w:pPr>
          <w:r w:rsidRPr="00B549C3">
            <w:rPr>
              <w:b/>
              <w:color w:val="404040"/>
              <w:sz w:val="18"/>
              <w:szCs w:val="18"/>
              <w:lang w:eastAsia="en-GB"/>
            </w:rPr>
            <w:t>Checked by:</w:t>
          </w:r>
        </w:p>
      </w:tc>
      <w:tc>
        <w:tcPr>
          <w:tcW w:w="425" w:type="dxa"/>
          <w:tcBorders>
            <w:top w:val="single" w:sz="2" w:space="0" w:color="990033"/>
            <w:left w:val="single" w:sz="2" w:space="0" w:color="990033"/>
            <w:bottom w:val="single" w:sz="2" w:space="0" w:color="990033"/>
            <w:right w:val="single" w:sz="2" w:space="0" w:color="990033"/>
          </w:tcBorders>
          <w:shd w:val="clear" w:color="auto" w:fill="auto"/>
          <w:vAlign w:val="center"/>
        </w:tcPr>
        <w:p w:rsidR="00DB11AB" w:rsidRPr="00B549C3" w:rsidRDefault="00DB11AB" w:rsidP="00DB11AB">
          <w:pPr>
            <w:spacing w:after="0"/>
            <w:ind w:left="-57" w:right="-57"/>
            <w:jc w:val="center"/>
            <w:rPr>
              <w:b/>
              <w:color w:val="404040"/>
              <w:sz w:val="18"/>
              <w:szCs w:val="18"/>
              <w:lang w:eastAsia="en-GB"/>
            </w:rPr>
          </w:pPr>
        </w:p>
      </w:tc>
      <w:tc>
        <w:tcPr>
          <w:tcW w:w="567" w:type="dxa"/>
          <w:tcBorders>
            <w:top w:val="single" w:sz="2" w:space="0" w:color="990033"/>
            <w:left w:val="single" w:sz="2" w:space="0" w:color="990033"/>
            <w:bottom w:val="single" w:sz="2" w:space="0" w:color="990033"/>
            <w:right w:val="single" w:sz="2" w:space="0" w:color="990033"/>
          </w:tcBorders>
          <w:shd w:val="clear" w:color="auto" w:fill="FBE4D5"/>
          <w:vAlign w:val="center"/>
        </w:tcPr>
        <w:p w:rsidR="00DB11AB" w:rsidRPr="00B549C3" w:rsidRDefault="00DB11AB" w:rsidP="0021527A">
          <w:pPr>
            <w:spacing w:after="0"/>
            <w:ind w:left="-57" w:right="-57"/>
            <w:rPr>
              <w:b/>
              <w:color w:val="404040"/>
              <w:sz w:val="18"/>
              <w:szCs w:val="18"/>
              <w:lang w:eastAsia="en-GB"/>
            </w:rPr>
          </w:pPr>
          <w:r w:rsidRPr="00B549C3">
            <w:rPr>
              <w:b/>
              <w:color w:val="404040"/>
              <w:sz w:val="18"/>
              <w:szCs w:val="18"/>
              <w:lang w:eastAsia="en-GB"/>
            </w:rPr>
            <w:t>Date:</w:t>
          </w:r>
        </w:p>
      </w:tc>
      <w:tc>
        <w:tcPr>
          <w:tcW w:w="1276" w:type="dxa"/>
          <w:tcBorders>
            <w:top w:val="single" w:sz="2" w:space="0" w:color="990033"/>
            <w:left w:val="single" w:sz="2" w:space="0" w:color="990033"/>
            <w:bottom w:val="single" w:sz="2" w:space="0" w:color="990033"/>
            <w:right w:val="single" w:sz="2" w:space="0" w:color="990033"/>
          </w:tcBorders>
          <w:shd w:val="clear" w:color="auto" w:fill="auto"/>
          <w:vAlign w:val="center"/>
        </w:tcPr>
        <w:p w:rsidR="00DB11AB" w:rsidRPr="00B549C3" w:rsidRDefault="00DB11AB" w:rsidP="00DB11AB">
          <w:pPr>
            <w:spacing w:after="0"/>
            <w:ind w:left="-57" w:right="-57"/>
            <w:jc w:val="center"/>
            <w:rPr>
              <w:b/>
              <w:color w:val="404040"/>
              <w:sz w:val="18"/>
              <w:szCs w:val="18"/>
              <w:lang w:eastAsia="en-GB"/>
            </w:rPr>
          </w:pPr>
        </w:p>
      </w:tc>
      <w:tc>
        <w:tcPr>
          <w:tcW w:w="1276" w:type="dxa"/>
          <w:tcBorders>
            <w:top w:val="single" w:sz="2" w:space="0" w:color="990033"/>
            <w:left w:val="single" w:sz="2" w:space="0" w:color="990033"/>
            <w:bottom w:val="single" w:sz="2" w:space="0" w:color="990033"/>
            <w:right w:val="single" w:sz="2" w:space="0" w:color="990033"/>
          </w:tcBorders>
          <w:shd w:val="clear" w:color="auto" w:fill="FBE4D5"/>
          <w:vAlign w:val="center"/>
        </w:tcPr>
        <w:p w:rsidR="00DB11AB" w:rsidRPr="00B549C3" w:rsidRDefault="00DB11AB" w:rsidP="00DB11AB">
          <w:pPr>
            <w:spacing w:after="0"/>
            <w:ind w:left="-57" w:right="-57"/>
            <w:rPr>
              <w:b/>
              <w:color w:val="404040"/>
              <w:sz w:val="18"/>
              <w:szCs w:val="18"/>
              <w:lang w:eastAsia="en-GB"/>
            </w:rPr>
          </w:pPr>
          <w:r w:rsidRPr="00B549C3">
            <w:rPr>
              <w:b/>
              <w:color w:val="404040"/>
              <w:sz w:val="18"/>
              <w:szCs w:val="18"/>
              <w:lang w:eastAsia="en-GB"/>
            </w:rPr>
            <w:t>Approved by</w:t>
          </w:r>
          <w:r w:rsidRPr="00DB11AB">
            <w:rPr>
              <w:b/>
              <w:color w:val="404040"/>
              <w:sz w:val="18"/>
              <w:szCs w:val="18"/>
              <w:lang w:eastAsia="en-GB"/>
            </w:rPr>
            <w:t>:</w:t>
          </w:r>
        </w:p>
      </w:tc>
      <w:tc>
        <w:tcPr>
          <w:tcW w:w="425" w:type="dxa"/>
          <w:tcBorders>
            <w:top w:val="single" w:sz="2" w:space="0" w:color="990033"/>
            <w:left w:val="single" w:sz="2" w:space="0" w:color="990033"/>
            <w:bottom w:val="single" w:sz="2" w:space="0" w:color="990033"/>
            <w:right w:val="single" w:sz="2" w:space="0" w:color="990033"/>
          </w:tcBorders>
          <w:shd w:val="clear" w:color="auto" w:fill="auto"/>
          <w:vAlign w:val="center"/>
        </w:tcPr>
        <w:p w:rsidR="00DB11AB" w:rsidRPr="00B549C3" w:rsidRDefault="00DB11AB" w:rsidP="00DB11AB">
          <w:pPr>
            <w:spacing w:after="0"/>
            <w:ind w:left="-57" w:right="-57"/>
            <w:jc w:val="center"/>
            <w:rPr>
              <w:b/>
              <w:color w:val="404040"/>
              <w:sz w:val="18"/>
              <w:szCs w:val="18"/>
              <w:lang w:eastAsia="en-GB"/>
            </w:rPr>
          </w:pPr>
        </w:p>
      </w:tc>
      <w:tc>
        <w:tcPr>
          <w:tcW w:w="567" w:type="dxa"/>
          <w:tcBorders>
            <w:top w:val="single" w:sz="2" w:space="0" w:color="990033"/>
            <w:left w:val="single" w:sz="2" w:space="0" w:color="990033"/>
            <w:bottom w:val="single" w:sz="2" w:space="0" w:color="990033"/>
            <w:right w:val="single" w:sz="2" w:space="0" w:color="990033"/>
          </w:tcBorders>
          <w:shd w:val="clear" w:color="auto" w:fill="FBE4D5"/>
          <w:noWrap/>
          <w:vAlign w:val="center"/>
          <w:hideMark/>
        </w:tcPr>
        <w:p w:rsidR="00DB11AB" w:rsidRPr="00DB11AB" w:rsidRDefault="00DB11AB" w:rsidP="00DB11AB">
          <w:pPr>
            <w:spacing w:after="0"/>
            <w:ind w:left="-57" w:right="-57"/>
            <w:rPr>
              <w:b/>
              <w:color w:val="404040"/>
              <w:sz w:val="18"/>
              <w:szCs w:val="18"/>
              <w:lang w:eastAsia="en-GB"/>
            </w:rPr>
          </w:pPr>
          <w:r w:rsidRPr="00DB11AB">
            <w:rPr>
              <w:b/>
              <w:color w:val="404040"/>
              <w:sz w:val="18"/>
              <w:szCs w:val="18"/>
              <w:lang w:eastAsia="en-GB"/>
            </w:rPr>
            <w:t xml:space="preserve">Date : </w:t>
          </w:r>
        </w:p>
      </w:tc>
      <w:tc>
        <w:tcPr>
          <w:tcW w:w="1084" w:type="dxa"/>
          <w:tcBorders>
            <w:top w:val="single" w:sz="2" w:space="0" w:color="990033"/>
            <w:left w:val="single" w:sz="2" w:space="0" w:color="990033"/>
            <w:bottom w:val="single" w:sz="2" w:space="0" w:color="990033"/>
            <w:right w:val="single" w:sz="2" w:space="0" w:color="990033"/>
          </w:tcBorders>
          <w:shd w:val="clear" w:color="auto" w:fill="auto"/>
          <w:noWrap/>
          <w:vAlign w:val="center"/>
          <w:hideMark/>
        </w:tcPr>
        <w:p w:rsidR="00DB11AB" w:rsidRPr="00DB11AB" w:rsidRDefault="00DB11AB" w:rsidP="00DB11AB">
          <w:pPr>
            <w:spacing w:after="0"/>
            <w:ind w:left="-57" w:right="-57"/>
            <w:jc w:val="center"/>
            <w:rPr>
              <w:b/>
              <w:color w:val="404040"/>
              <w:sz w:val="18"/>
              <w:szCs w:val="18"/>
              <w:lang w:eastAsia="en-GB"/>
            </w:rPr>
          </w:pPr>
        </w:p>
      </w:tc>
    </w:tr>
    <w:tr w:rsidR="00DB11AB" w:rsidRPr="0023365C" w:rsidTr="005F0014">
      <w:trPr>
        <w:trHeight w:val="284"/>
        <w:jc w:val="center"/>
      </w:trPr>
      <w:tc>
        <w:tcPr>
          <w:tcW w:w="9997" w:type="dxa"/>
          <w:gridSpan w:val="12"/>
          <w:tcBorders>
            <w:top w:val="single" w:sz="2" w:space="0" w:color="990033"/>
          </w:tcBorders>
          <w:shd w:val="clear" w:color="auto" w:fill="auto"/>
          <w:vAlign w:val="center"/>
          <w:hideMark/>
        </w:tcPr>
        <w:p w:rsidR="00DB11AB" w:rsidRPr="0023365C" w:rsidRDefault="00DB11AB" w:rsidP="00DB11AB">
          <w:pPr>
            <w:pStyle w:val="NoSpacing"/>
            <w:spacing w:before="120"/>
            <w:jc w:val="center"/>
            <w:rPr>
              <w:noProof/>
              <w:color w:val="404040"/>
              <w:sz w:val="16"/>
              <w:szCs w:val="16"/>
              <w:lang w:eastAsia="en-GB"/>
            </w:rPr>
          </w:pPr>
          <w:r w:rsidRPr="0023365C">
            <w:rPr>
              <w:b/>
              <w:noProof/>
              <w:color w:val="404040"/>
              <w:sz w:val="16"/>
              <w:szCs w:val="16"/>
              <w:lang w:eastAsia="en-GB"/>
            </w:rPr>
            <w:t>Abbey College in Malvern Ltd</w:t>
          </w:r>
          <w:r w:rsidRPr="0023365C">
            <w:rPr>
              <w:noProof/>
              <w:color w:val="404040"/>
              <w:sz w:val="16"/>
              <w:szCs w:val="16"/>
              <w:lang w:eastAsia="en-GB"/>
            </w:rPr>
            <w:t xml:space="preserve"> (Number 08661073)</w:t>
          </w:r>
        </w:p>
        <w:p w:rsidR="00DB11AB" w:rsidRPr="0023365C" w:rsidRDefault="00DB11AB" w:rsidP="0021527A">
          <w:pPr>
            <w:pStyle w:val="NoSpacing"/>
            <w:jc w:val="center"/>
            <w:rPr>
              <w:noProof/>
              <w:color w:val="404040"/>
              <w:sz w:val="16"/>
              <w:szCs w:val="16"/>
              <w:lang w:eastAsia="en-GB"/>
            </w:rPr>
          </w:pPr>
          <w:r w:rsidRPr="0023365C">
            <w:rPr>
              <w:noProof/>
              <w:color w:val="404040"/>
              <w:sz w:val="16"/>
              <w:szCs w:val="16"/>
              <w:lang w:eastAsia="en-GB"/>
            </w:rPr>
            <w:t>Registered in England and Wales. Registered office: 6 Manor Park Business centre, Mackenzie Way, Cheltenham, Gloucestershire, GL51 9TX</w:t>
          </w:r>
        </w:p>
        <w:p w:rsidR="00DB11AB" w:rsidRPr="0023365C" w:rsidRDefault="00DB11AB" w:rsidP="00DB11AB">
          <w:pPr>
            <w:spacing w:after="0"/>
            <w:jc w:val="center"/>
            <w:rPr>
              <w:rFonts w:eastAsia="Batang" w:cs="Calibri"/>
              <w:b/>
              <w:sz w:val="16"/>
              <w:szCs w:val="16"/>
            </w:rPr>
          </w:pPr>
          <w:r w:rsidRPr="0023365C">
            <w:rPr>
              <w:rFonts w:eastAsia="Batang" w:cs="Calibri"/>
              <w:sz w:val="16"/>
              <w:szCs w:val="16"/>
            </w:rPr>
            <w:t xml:space="preserve">Member of ENGLISH UK, </w:t>
          </w:r>
          <w:r>
            <w:rPr>
              <w:rFonts w:eastAsia="Batang" w:cs="Calibri"/>
              <w:sz w:val="16"/>
              <w:szCs w:val="16"/>
            </w:rPr>
            <w:t>Accredited</w:t>
          </w:r>
          <w:r w:rsidRPr="0023365C">
            <w:rPr>
              <w:rFonts w:eastAsia="Batang" w:cs="Calibri"/>
              <w:sz w:val="16"/>
              <w:szCs w:val="16"/>
            </w:rPr>
            <w:t xml:space="preserve"> by the British Council for the teaching of English as a Foreign Language, DfES Reg. No. 8856026</w:t>
          </w:r>
        </w:p>
      </w:tc>
    </w:tr>
  </w:tbl>
  <w:p w:rsidR="00DB11AB" w:rsidRDefault="00DB1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AB" w:rsidRDefault="00DB11AB" w:rsidP="00DB11AB">
      <w:pPr>
        <w:spacing w:after="0" w:line="240" w:lineRule="auto"/>
      </w:pPr>
      <w:r>
        <w:separator/>
      </w:r>
    </w:p>
  </w:footnote>
  <w:footnote w:type="continuationSeparator" w:id="0">
    <w:p w:rsidR="00DB11AB" w:rsidRDefault="00DB11AB" w:rsidP="00DB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AB" w:rsidRDefault="00213684">
    <w:pPr>
      <w:pStyle w:val="Header"/>
    </w:pPr>
    <w:r>
      <w:rPr>
        <w:noProof/>
        <w:lang w:eastAsia="en-GB"/>
      </w:rPr>
      <w:drawing>
        <wp:inline distT="0" distB="0" distL="0" distR="0">
          <wp:extent cx="6188710" cy="1120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Quality 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6188710" cy="1120775"/>
                  </a:xfrm>
                  <a:prstGeom prst="rect">
                    <a:avLst/>
                  </a:prstGeom>
                </pic:spPr>
              </pic:pic>
            </a:graphicData>
          </a:graphic>
        </wp:inline>
      </w:drawing>
    </w:r>
  </w:p>
  <w:p w:rsidR="00260EA4" w:rsidRDefault="00260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B51"/>
    <w:multiLevelType w:val="hybridMultilevel"/>
    <w:tmpl w:val="ED1C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97E62"/>
    <w:multiLevelType w:val="hybridMultilevel"/>
    <w:tmpl w:val="85D6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C7490"/>
    <w:multiLevelType w:val="hybridMultilevel"/>
    <w:tmpl w:val="281E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E4445"/>
    <w:multiLevelType w:val="hybridMultilevel"/>
    <w:tmpl w:val="77DC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F4185C"/>
    <w:multiLevelType w:val="hybridMultilevel"/>
    <w:tmpl w:val="4C6C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8B55F7"/>
    <w:multiLevelType w:val="hybridMultilevel"/>
    <w:tmpl w:val="439A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32589"/>
    <w:multiLevelType w:val="hybridMultilevel"/>
    <w:tmpl w:val="D688C88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
    <w:nsid w:val="29A96A14"/>
    <w:multiLevelType w:val="hybridMultilevel"/>
    <w:tmpl w:val="7AD6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3D1E6A"/>
    <w:multiLevelType w:val="hybridMultilevel"/>
    <w:tmpl w:val="DFB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732B39"/>
    <w:multiLevelType w:val="hybridMultilevel"/>
    <w:tmpl w:val="BAA0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nsid w:val="376E3B8B"/>
    <w:multiLevelType w:val="hybridMultilevel"/>
    <w:tmpl w:val="818E8D16"/>
    <w:lvl w:ilvl="0" w:tplc="AB14CC4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90415D"/>
    <w:multiLevelType w:val="hybridMultilevel"/>
    <w:tmpl w:val="430A3BBC"/>
    <w:lvl w:ilvl="0" w:tplc="08090001">
      <w:start w:val="1"/>
      <w:numFmt w:val="bullet"/>
      <w:lvlText w:val=""/>
      <w:lvlJc w:val="left"/>
      <w:pPr>
        <w:ind w:left="720" w:hanging="360"/>
      </w:pPr>
      <w:rPr>
        <w:rFonts w:ascii="Symbol" w:hAnsi="Symbol" w:hint="default"/>
      </w:rPr>
    </w:lvl>
    <w:lvl w:ilvl="1" w:tplc="ECCE502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B67282"/>
    <w:multiLevelType w:val="hybridMultilevel"/>
    <w:tmpl w:val="7F8218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6A43ABA"/>
    <w:multiLevelType w:val="hybridMultilevel"/>
    <w:tmpl w:val="7612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3E3C91"/>
    <w:multiLevelType w:val="hybridMultilevel"/>
    <w:tmpl w:val="6CE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B21466"/>
    <w:multiLevelType w:val="hybridMultilevel"/>
    <w:tmpl w:val="6D4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DC7CD5"/>
    <w:multiLevelType w:val="hybridMultilevel"/>
    <w:tmpl w:val="A1D0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7A617F"/>
    <w:multiLevelType w:val="hybridMultilevel"/>
    <w:tmpl w:val="1648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6E2484"/>
    <w:multiLevelType w:val="hybridMultilevel"/>
    <w:tmpl w:val="316EB866"/>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0">
    <w:nsid w:val="6C391AE2"/>
    <w:multiLevelType w:val="hybridMultilevel"/>
    <w:tmpl w:val="EE5A7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E4767B4"/>
    <w:multiLevelType w:val="hybridMultilevel"/>
    <w:tmpl w:val="8884C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0EE3284"/>
    <w:multiLevelType w:val="hybridMultilevel"/>
    <w:tmpl w:val="623A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DB18BF"/>
    <w:multiLevelType w:val="hybridMultilevel"/>
    <w:tmpl w:val="082E15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5367AED"/>
    <w:multiLevelType w:val="hybridMultilevel"/>
    <w:tmpl w:val="45C8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24"/>
  </w:num>
  <w:num w:numId="5">
    <w:abstractNumId w:val="17"/>
  </w:num>
  <w:num w:numId="6">
    <w:abstractNumId w:val="16"/>
  </w:num>
  <w:num w:numId="7">
    <w:abstractNumId w:val="3"/>
  </w:num>
  <w:num w:numId="8">
    <w:abstractNumId w:val="9"/>
  </w:num>
  <w:num w:numId="9">
    <w:abstractNumId w:val="0"/>
  </w:num>
  <w:num w:numId="10">
    <w:abstractNumId w:val="12"/>
  </w:num>
  <w:num w:numId="11">
    <w:abstractNumId w:val="14"/>
  </w:num>
  <w:num w:numId="12">
    <w:abstractNumId w:val="4"/>
  </w:num>
  <w:num w:numId="13">
    <w:abstractNumId w:val="20"/>
  </w:num>
  <w:num w:numId="14">
    <w:abstractNumId w:val="19"/>
  </w:num>
  <w:num w:numId="15">
    <w:abstractNumId w:val="18"/>
  </w:num>
  <w:num w:numId="16">
    <w:abstractNumId w:val="13"/>
  </w:num>
  <w:num w:numId="17">
    <w:abstractNumId w:val="23"/>
  </w:num>
  <w:num w:numId="18">
    <w:abstractNumId w:val="2"/>
  </w:num>
  <w:num w:numId="19">
    <w:abstractNumId w:val="5"/>
  </w:num>
  <w:num w:numId="20">
    <w:abstractNumId w:val="7"/>
  </w:num>
  <w:num w:numId="21">
    <w:abstractNumId w:val="11"/>
  </w:num>
  <w:num w:numId="22">
    <w:abstractNumId w:val="22"/>
  </w:num>
  <w:num w:numId="23">
    <w:abstractNumId w:val="21"/>
  </w:num>
  <w:num w:numId="24">
    <w:abstractNumId w:val="1"/>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0A"/>
    <w:rsid w:val="0005494C"/>
    <w:rsid w:val="00074968"/>
    <w:rsid w:val="00075424"/>
    <w:rsid w:val="000A0398"/>
    <w:rsid w:val="000B63A6"/>
    <w:rsid w:val="000D0E96"/>
    <w:rsid w:val="00126747"/>
    <w:rsid w:val="001A01DD"/>
    <w:rsid w:val="001A790F"/>
    <w:rsid w:val="001D1A97"/>
    <w:rsid w:val="00213684"/>
    <w:rsid w:val="00260EA4"/>
    <w:rsid w:val="002B7AA9"/>
    <w:rsid w:val="002D5C46"/>
    <w:rsid w:val="0033019A"/>
    <w:rsid w:val="00394C5D"/>
    <w:rsid w:val="003C570B"/>
    <w:rsid w:val="003D1B9D"/>
    <w:rsid w:val="00436DD0"/>
    <w:rsid w:val="00443AD7"/>
    <w:rsid w:val="00483EB6"/>
    <w:rsid w:val="004931AB"/>
    <w:rsid w:val="004E155D"/>
    <w:rsid w:val="00545261"/>
    <w:rsid w:val="00590D8F"/>
    <w:rsid w:val="005A5741"/>
    <w:rsid w:val="005F0014"/>
    <w:rsid w:val="005F108D"/>
    <w:rsid w:val="00620828"/>
    <w:rsid w:val="00621B01"/>
    <w:rsid w:val="006B4BB1"/>
    <w:rsid w:val="006C0FED"/>
    <w:rsid w:val="006E7F25"/>
    <w:rsid w:val="007E1A4A"/>
    <w:rsid w:val="007E44B9"/>
    <w:rsid w:val="0082121F"/>
    <w:rsid w:val="00894C97"/>
    <w:rsid w:val="008A43FF"/>
    <w:rsid w:val="008B733B"/>
    <w:rsid w:val="00992779"/>
    <w:rsid w:val="009B4077"/>
    <w:rsid w:val="00A41BDB"/>
    <w:rsid w:val="00A44271"/>
    <w:rsid w:val="00A62C81"/>
    <w:rsid w:val="00A97AE4"/>
    <w:rsid w:val="00AA18F2"/>
    <w:rsid w:val="00B01924"/>
    <w:rsid w:val="00B549C3"/>
    <w:rsid w:val="00BC0CDE"/>
    <w:rsid w:val="00C21365"/>
    <w:rsid w:val="00C3263A"/>
    <w:rsid w:val="00C32B17"/>
    <w:rsid w:val="00C633D4"/>
    <w:rsid w:val="00C8142C"/>
    <w:rsid w:val="00C978CF"/>
    <w:rsid w:val="00CD5CA1"/>
    <w:rsid w:val="00CD7463"/>
    <w:rsid w:val="00D86831"/>
    <w:rsid w:val="00DB11AB"/>
    <w:rsid w:val="00DE11B3"/>
    <w:rsid w:val="00E97058"/>
    <w:rsid w:val="00EA1300"/>
    <w:rsid w:val="00F21A0A"/>
    <w:rsid w:val="00F224DA"/>
    <w:rsid w:val="00F504F8"/>
    <w:rsid w:val="00F517B0"/>
    <w:rsid w:val="00F57DCF"/>
    <w:rsid w:val="00F8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11AB"/>
    <w:pPr>
      <w:tabs>
        <w:tab w:val="center" w:pos="4513"/>
        <w:tab w:val="right" w:pos="9026"/>
      </w:tabs>
      <w:spacing w:after="0" w:line="240" w:lineRule="auto"/>
    </w:pPr>
  </w:style>
  <w:style w:type="character" w:customStyle="1" w:styleId="HeaderChar">
    <w:name w:val="Header Char"/>
    <w:basedOn w:val="DefaultParagraphFont"/>
    <w:link w:val="Header"/>
    <w:rsid w:val="00DB11AB"/>
  </w:style>
  <w:style w:type="paragraph" w:styleId="Footer">
    <w:name w:val="footer"/>
    <w:basedOn w:val="Normal"/>
    <w:link w:val="FooterChar"/>
    <w:unhideWhenUsed/>
    <w:rsid w:val="00DB11AB"/>
    <w:pPr>
      <w:tabs>
        <w:tab w:val="center" w:pos="4513"/>
        <w:tab w:val="right" w:pos="9026"/>
      </w:tabs>
      <w:spacing w:after="0" w:line="240" w:lineRule="auto"/>
    </w:pPr>
  </w:style>
  <w:style w:type="character" w:customStyle="1" w:styleId="FooterChar">
    <w:name w:val="Footer Char"/>
    <w:basedOn w:val="DefaultParagraphFont"/>
    <w:link w:val="Footer"/>
    <w:rsid w:val="00DB11AB"/>
  </w:style>
  <w:style w:type="paragraph" w:styleId="BalloonText">
    <w:name w:val="Balloon Text"/>
    <w:basedOn w:val="Normal"/>
    <w:link w:val="BalloonTextChar"/>
    <w:uiPriority w:val="99"/>
    <w:semiHidden/>
    <w:unhideWhenUsed/>
    <w:rsid w:val="00DB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AB"/>
    <w:rPr>
      <w:rFonts w:ascii="Tahoma" w:hAnsi="Tahoma" w:cs="Tahoma"/>
      <w:sz w:val="16"/>
      <w:szCs w:val="16"/>
    </w:rPr>
  </w:style>
  <w:style w:type="paragraph" w:styleId="NoSpacing">
    <w:name w:val="No Spacing"/>
    <w:uiPriority w:val="99"/>
    <w:qFormat/>
    <w:rsid w:val="00DB11AB"/>
    <w:pPr>
      <w:spacing w:after="0" w:line="240" w:lineRule="auto"/>
    </w:pPr>
    <w:rPr>
      <w:rFonts w:ascii="Calibri" w:eastAsia="Calibri" w:hAnsi="Calibri" w:cs="Times New Roman"/>
    </w:rPr>
  </w:style>
  <w:style w:type="table" w:styleId="TableGrid">
    <w:name w:val="Table Grid"/>
    <w:basedOn w:val="TableNormal"/>
    <w:uiPriority w:val="59"/>
    <w:rsid w:val="00DB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1AB"/>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GB"/>
    </w:rPr>
  </w:style>
  <w:style w:type="paragraph" w:styleId="ListParagraph">
    <w:name w:val="List Paragraph"/>
    <w:basedOn w:val="Normal"/>
    <w:uiPriority w:val="34"/>
    <w:qFormat/>
    <w:rsid w:val="00DB11AB"/>
    <w:pPr>
      <w:ind w:left="720"/>
      <w:contextualSpacing/>
    </w:pPr>
  </w:style>
  <w:style w:type="character" w:styleId="Strong">
    <w:name w:val="Strong"/>
    <w:qFormat/>
    <w:rsid w:val="006C0FED"/>
    <w:rPr>
      <w:b/>
      <w:bCs/>
    </w:rPr>
  </w:style>
  <w:style w:type="character" w:styleId="Hyperlink">
    <w:name w:val="Hyperlink"/>
    <w:basedOn w:val="DefaultParagraphFont"/>
    <w:uiPriority w:val="99"/>
    <w:unhideWhenUsed/>
    <w:rsid w:val="0082121F"/>
    <w:rPr>
      <w:color w:val="0000FF" w:themeColor="hyperlink"/>
      <w:u w:val="single"/>
    </w:rPr>
  </w:style>
  <w:style w:type="paragraph" w:styleId="Title">
    <w:name w:val="Title"/>
    <w:basedOn w:val="Normal"/>
    <w:link w:val="TitleChar"/>
    <w:qFormat/>
    <w:rsid w:val="002D5C46"/>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2D5C46"/>
    <w:rPr>
      <w:rFonts w:ascii="Times New Roman" w:eastAsia="Times New Roman" w:hAnsi="Times New Roman" w:cs="Times New Roman"/>
      <w:b/>
      <w:bCs/>
      <w:sz w:val="24"/>
      <w:szCs w:val="24"/>
      <w:u w:val="single"/>
    </w:rPr>
  </w:style>
  <w:style w:type="paragraph" w:styleId="NormalWeb">
    <w:name w:val="Normal (Web)"/>
    <w:basedOn w:val="Normal"/>
    <w:uiPriority w:val="99"/>
    <w:unhideWhenUsed/>
    <w:rsid w:val="00894C9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text-left">
    <w:name w:val="Table text - left"/>
    <w:basedOn w:val="Normal"/>
    <w:link w:val="Tabletext-leftChar"/>
    <w:rsid w:val="00C21365"/>
    <w:pPr>
      <w:spacing w:before="60" w:after="60" w:line="240" w:lineRule="auto"/>
      <w:contextualSpacing/>
    </w:pPr>
    <w:rPr>
      <w:rFonts w:ascii="Tahoma" w:eastAsia="Times New Roman" w:hAnsi="Tahoma"/>
      <w:color w:val="000000"/>
      <w:szCs w:val="24"/>
    </w:rPr>
  </w:style>
  <w:style w:type="paragraph" w:customStyle="1" w:styleId="Tabletextbullet">
    <w:name w:val="Table text bullet"/>
    <w:basedOn w:val="Normal"/>
    <w:rsid w:val="00C21365"/>
    <w:pPr>
      <w:numPr>
        <w:numId w:val="3"/>
      </w:numPr>
      <w:spacing w:before="60" w:after="60" w:line="240" w:lineRule="auto"/>
      <w:contextualSpacing/>
    </w:pPr>
    <w:rPr>
      <w:rFonts w:ascii="Tahoma" w:eastAsia="Times New Roman" w:hAnsi="Tahoma"/>
      <w:color w:val="000000"/>
      <w:szCs w:val="24"/>
    </w:rPr>
  </w:style>
  <w:style w:type="character" w:customStyle="1" w:styleId="Tabletext-leftChar">
    <w:name w:val="Table text - left Char"/>
    <w:link w:val="Tabletext-left"/>
    <w:rsid w:val="00C21365"/>
    <w:rPr>
      <w:rFonts w:ascii="Tahoma" w:eastAsia="Times New Roman" w:hAnsi="Tahoma"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11AB"/>
    <w:pPr>
      <w:tabs>
        <w:tab w:val="center" w:pos="4513"/>
        <w:tab w:val="right" w:pos="9026"/>
      </w:tabs>
      <w:spacing w:after="0" w:line="240" w:lineRule="auto"/>
    </w:pPr>
  </w:style>
  <w:style w:type="character" w:customStyle="1" w:styleId="HeaderChar">
    <w:name w:val="Header Char"/>
    <w:basedOn w:val="DefaultParagraphFont"/>
    <w:link w:val="Header"/>
    <w:rsid w:val="00DB11AB"/>
  </w:style>
  <w:style w:type="paragraph" w:styleId="Footer">
    <w:name w:val="footer"/>
    <w:basedOn w:val="Normal"/>
    <w:link w:val="FooterChar"/>
    <w:unhideWhenUsed/>
    <w:rsid w:val="00DB11AB"/>
    <w:pPr>
      <w:tabs>
        <w:tab w:val="center" w:pos="4513"/>
        <w:tab w:val="right" w:pos="9026"/>
      </w:tabs>
      <w:spacing w:after="0" w:line="240" w:lineRule="auto"/>
    </w:pPr>
  </w:style>
  <w:style w:type="character" w:customStyle="1" w:styleId="FooterChar">
    <w:name w:val="Footer Char"/>
    <w:basedOn w:val="DefaultParagraphFont"/>
    <w:link w:val="Footer"/>
    <w:rsid w:val="00DB11AB"/>
  </w:style>
  <w:style w:type="paragraph" w:styleId="BalloonText">
    <w:name w:val="Balloon Text"/>
    <w:basedOn w:val="Normal"/>
    <w:link w:val="BalloonTextChar"/>
    <w:uiPriority w:val="99"/>
    <w:semiHidden/>
    <w:unhideWhenUsed/>
    <w:rsid w:val="00DB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AB"/>
    <w:rPr>
      <w:rFonts w:ascii="Tahoma" w:hAnsi="Tahoma" w:cs="Tahoma"/>
      <w:sz w:val="16"/>
      <w:szCs w:val="16"/>
    </w:rPr>
  </w:style>
  <w:style w:type="paragraph" w:styleId="NoSpacing">
    <w:name w:val="No Spacing"/>
    <w:uiPriority w:val="99"/>
    <w:qFormat/>
    <w:rsid w:val="00DB11AB"/>
    <w:pPr>
      <w:spacing w:after="0" w:line="240" w:lineRule="auto"/>
    </w:pPr>
    <w:rPr>
      <w:rFonts w:ascii="Calibri" w:eastAsia="Calibri" w:hAnsi="Calibri" w:cs="Times New Roman"/>
    </w:rPr>
  </w:style>
  <w:style w:type="table" w:styleId="TableGrid">
    <w:name w:val="Table Grid"/>
    <w:basedOn w:val="TableNormal"/>
    <w:uiPriority w:val="59"/>
    <w:rsid w:val="00DB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11AB"/>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GB"/>
    </w:rPr>
  </w:style>
  <w:style w:type="paragraph" w:styleId="ListParagraph">
    <w:name w:val="List Paragraph"/>
    <w:basedOn w:val="Normal"/>
    <w:uiPriority w:val="34"/>
    <w:qFormat/>
    <w:rsid w:val="00DB11AB"/>
    <w:pPr>
      <w:ind w:left="720"/>
      <w:contextualSpacing/>
    </w:pPr>
  </w:style>
  <w:style w:type="character" w:styleId="Strong">
    <w:name w:val="Strong"/>
    <w:qFormat/>
    <w:rsid w:val="006C0FED"/>
    <w:rPr>
      <w:b/>
      <w:bCs/>
    </w:rPr>
  </w:style>
  <w:style w:type="character" w:styleId="Hyperlink">
    <w:name w:val="Hyperlink"/>
    <w:basedOn w:val="DefaultParagraphFont"/>
    <w:uiPriority w:val="99"/>
    <w:unhideWhenUsed/>
    <w:rsid w:val="0082121F"/>
    <w:rPr>
      <w:color w:val="0000FF" w:themeColor="hyperlink"/>
      <w:u w:val="single"/>
    </w:rPr>
  </w:style>
  <w:style w:type="paragraph" w:styleId="Title">
    <w:name w:val="Title"/>
    <w:basedOn w:val="Normal"/>
    <w:link w:val="TitleChar"/>
    <w:qFormat/>
    <w:rsid w:val="002D5C46"/>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2D5C46"/>
    <w:rPr>
      <w:rFonts w:ascii="Times New Roman" w:eastAsia="Times New Roman" w:hAnsi="Times New Roman" w:cs="Times New Roman"/>
      <w:b/>
      <w:bCs/>
      <w:sz w:val="24"/>
      <w:szCs w:val="24"/>
      <w:u w:val="single"/>
    </w:rPr>
  </w:style>
  <w:style w:type="paragraph" w:styleId="NormalWeb">
    <w:name w:val="Normal (Web)"/>
    <w:basedOn w:val="Normal"/>
    <w:uiPriority w:val="99"/>
    <w:unhideWhenUsed/>
    <w:rsid w:val="00894C9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text-left">
    <w:name w:val="Table text - left"/>
    <w:basedOn w:val="Normal"/>
    <w:link w:val="Tabletext-leftChar"/>
    <w:rsid w:val="00C21365"/>
    <w:pPr>
      <w:spacing w:before="60" w:after="60" w:line="240" w:lineRule="auto"/>
      <w:contextualSpacing/>
    </w:pPr>
    <w:rPr>
      <w:rFonts w:ascii="Tahoma" w:eastAsia="Times New Roman" w:hAnsi="Tahoma"/>
      <w:color w:val="000000"/>
      <w:szCs w:val="24"/>
    </w:rPr>
  </w:style>
  <w:style w:type="paragraph" w:customStyle="1" w:styleId="Tabletextbullet">
    <w:name w:val="Table text bullet"/>
    <w:basedOn w:val="Normal"/>
    <w:rsid w:val="00C21365"/>
    <w:pPr>
      <w:numPr>
        <w:numId w:val="3"/>
      </w:numPr>
      <w:spacing w:before="60" w:after="60" w:line="240" w:lineRule="auto"/>
      <w:contextualSpacing/>
    </w:pPr>
    <w:rPr>
      <w:rFonts w:ascii="Tahoma" w:eastAsia="Times New Roman" w:hAnsi="Tahoma"/>
      <w:color w:val="000000"/>
      <w:szCs w:val="24"/>
    </w:rPr>
  </w:style>
  <w:style w:type="character" w:customStyle="1" w:styleId="Tabletext-leftChar">
    <w:name w:val="Table text - left Char"/>
    <w:link w:val="Tabletext-left"/>
    <w:rsid w:val="00C21365"/>
    <w:rPr>
      <w:rFonts w:ascii="Tahoma" w:eastAsia="Times New Roman" w:hAnsi="Tahom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FD6EF-0DD1-4D1A-8451-F4B0BA09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Sophie Corness</cp:lastModifiedBy>
  <cp:revision>3</cp:revision>
  <cp:lastPrinted>2017-01-31T11:54:00Z</cp:lastPrinted>
  <dcterms:created xsi:type="dcterms:W3CDTF">2019-03-14T10:55:00Z</dcterms:created>
  <dcterms:modified xsi:type="dcterms:W3CDTF">2019-08-28T13:02:00Z</dcterms:modified>
</cp:coreProperties>
</file>